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right="0" w:rightChars="0"/>
        <w:jc w:val="both"/>
        <w:textAlignment w:val="auto"/>
        <w:outlineLvl w:val="9"/>
        <w:rPr>
          <w:rFonts w:hint="eastAsia" w:ascii="Times New Roman" w:hAnsi="Times New Roman" w:eastAsia="黑体" w:cs="黑体"/>
          <w:sz w:val="30"/>
          <w:szCs w:val="30"/>
          <w:u w:val="none"/>
        </w:rPr>
      </w:pPr>
      <w:r>
        <w:rPr>
          <w:rFonts w:hint="eastAsia" w:ascii="Times New Roman" w:hAnsi="Times New Roman" w:eastAsia="黑体" w:cs="黑体"/>
          <w:sz w:val="30"/>
          <w:szCs w:val="30"/>
          <w:u w:val="none"/>
        </w:rPr>
        <w:t>附件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sz w:val="42"/>
          <w:szCs w:val="42"/>
          <w:u w:val="none"/>
        </w:rPr>
      </w:pPr>
      <w:r>
        <w:rPr>
          <w:rFonts w:hint="eastAsia" w:ascii="Times New Roman" w:hAnsi="Times New Roman" w:eastAsia="方正小标宋简体" w:cs="方正小标宋简体"/>
          <w:sz w:val="42"/>
          <w:szCs w:val="42"/>
          <w:u w:val="none"/>
        </w:rPr>
        <w:t>包头市现代服务业差别化地价修正系数表</w:t>
      </w:r>
    </w:p>
    <w:p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/>
        <w:jc w:val="center"/>
        <w:textAlignment w:val="auto"/>
        <w:rPr>
          <w:rFonts w:hint="eastAsia" w:ascii="Times New Roman" w:hAnsi="Times New Roman" w:eastAsia="方正小标宋简体" w:cs="方正小标宋简体"/>
          <w:sz w:val="42"/>
          <w:szCs w:val="42"/>
          <w:u w:val="none"/>
        </w:rPr>
      </w:pPr>
    </w:p>
    <w:tbl>
      <w:tblPr>
        <w:tblStyle w:val="6"/>
        <w:tblW w:w="10488" w:type="dxa"/>
        <w:jc w:val="center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2075"/>
        <w:gridCol w:w="1187"/>
        <w:gridCol w:w="1585"/>
        <w:gridCol w:w="1145"/>
        <w:gridCol w:w="1206"/>
        <w:gridCol w:w="111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2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u w:val="none"/>
              </w:rPr>
              <w:t>指标名称</w:t>
            </w:r>
          </w:p>
        </w:tc>
        <w:tc>
          <w:tcPr>
            <w:tcW w:w="207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u w:val="none"/>
              </w:rPr>
              <w:t>限定条件</w:t>
            </w:r>
          </w:p>
        </w:tc>
        <w:tc>
          <w:tcPr>
            <w:tcW w:w="623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u w:val="none"/>
              </w:rPr>
              <w:t>业态分类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2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u w:val="none"/>
              </w:rPr>
              <w:t>商业商务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u w:val="none"/>
              </w:rPr>
              <w:t>金融保险服务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u w:val="none"/>
              </w:rPr>
              <w:t>总部经济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u w:val="none"/>
              </w:rPr>
              <w:t>星级酒店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/>
                <w:bCs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/>
                <w:bCs/>
                <w:color w:val="000000"/>
                <w:sz w:val="21"/>
                <w:szCs w:val="21"/>
                <w:u w:val="none"/>
              </w:rPr>
              <w:t>文化产业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2" w:hRule="atLeast"/>
          <w:jc w:val="center"/>
        </w:trPr>
        <w:tc>
          <w:tcPr>
            <w:tcW w:w="2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u w:val="none"/>
              </w:rPr>
              <w:t>区位差别修正系数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u w:val="none"/>
              </w:rPr>
              <w:t>新都市中心区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0.03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0.03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7" w:hRule="atLeast"/>
          <w:jc w:val="center"/>
        </w:trPr>
        <w:tc>
          <w:tcPr>
            <w:tcW w:w="2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u w:val="none"/>
              </w:rPr>
              <w:t>北梁腾空区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0.03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0.03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u w:val="none"/>
              </w:rPr>
              <w:t>产业业态修正系数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u w:val="none"/>
              </w:rPr>
              <w:t>优先发展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0.03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0.03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u w:val="none"/>
              </w:rPr>
              <w:t>自持比例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u w:val="none"/>
              </w:rPr>
              <w:t>修正系数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u w:val="none"/>
              </w:rPr>
              <w:t>≧30%且＜50%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0.03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0.03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0.03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0.03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0.03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" w:hRule="atLeast"/>
          <w:jc w:val="center"/>
        </w:trPr>
        <w:tc>
          <w:tcPr>
            <w:tcW w:w="2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Cs/>
                <w:sz w:val="21"/>
                <w:szCs w:val="21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u w:val="none"/>
              </w:rPr>
              <w:t>≧50%且＜100%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0.05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0.05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0.05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0.05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0.05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Cs/>
                <w:sz w:val="21"/>
                <w:szCs w:val="21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u w:val="none"/>
              </w:rPr>
              <w:t>100%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0.08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0.08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0.08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0.08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0.08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u w:val="none"/>
              </w:rPr>
              <w:t>地上规划建筑面积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Cs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u w:val="none"/>
              </w:rPr>
              <w:t>修正系数（万平方米）</w:t>
            </w: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u w:val="none"/>
              </w:rPr>
              <w:t>≧5且＜10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0.02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0.02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0.02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0.02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0.02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Cs/>
                <w:sz w:val="21"/>
                <w:szCs w:val="21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u w:val="none"/>
              </w:rPr>
              <w:t>≧10且＜20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0.04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0.04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0.04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0.04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0.04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18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Cs/>
                <w:sz w:val="21"/>
                <w:szCs w:val="21"/>
                <w:u w:val="none"/>
              </w:rPr>
            </w:pPr>
          </w:p>
        </w:tc>
        <w:tc>
          <w:tcPr>
            <w:tcW w:w="20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u w:val="none"/>
              </w:rPr>
              <w:t>≧20</w:t>
            </w:r>
          </w:p>
        </w:tc>
        <w:tc>
          <w:tcPr>
            <w:tcW w:w="11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0.06</w:t>
            </w:r>
          </w:p>
        </w:tc>
        <w:tc>
          <w:tcPr>
            <w:tcW w:w="1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0.06</w:t>
            </w:r>
          </w:p>
        </w:tc>
        <w:tc>
          <w:tcPr>
            <w:tcW w:w="11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0.06</w:t>
            </w:r>
          </w:p>
        </w:tc>
        <w:tc>
          <w:tcPr>
            <w:tcW w:w="12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0.06</w:t>
            </w:r>
          </w:p>
        </w:tc>
        <w:tc>
          <w:tcPr>
            <w:tcW w:w="11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Times New Roman" w:hAnsi="Times New Roman" w:eastAsia="宋体" w:cs="宋体"/>
                <w:b w:val="0"/>
                <w:bCs/>
                <w:color w:val="000000"/>
                <w:sz w:val="21"/>
                <w:szCs w:val="21"/>
                <w:u w:val="none"/>
              </w:rPr>
              <w:t>0.06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eastAsia" w:ascii="Times New Roman" w:hAnsi="Times New Roman" w:eastAsia="宋体" w:cs="宋体"/>
          <w:color w:val="000000"/>
          <w:sz w:val="21"/>
          <w:szCs w:val="21"/>
          <w:u w:val="none"/>
        </w:rPr>
      </w:pPr>
      <w:r>
        <w:rPr>
          <w:rFonts w:hint="eastAsia" w:ascii="Times New Roman" w:hAnsi="Times New Roman" w:eastAsia="宋体" w:cs="宋体"/>
          <w:b w:val="0"/>
          <w:bCs/>
          <w:color w:val="000000"/>
          <w:sz w:val="21"/>
          <w:szCs w:val="21"/>
          <w:u w:val="none"/>
        </w:rPr>
        <w:t>注: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u w:val="none"/>
        </w:rPr>
        <w:t xml:space="preserve"> 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u w:val="none"/>
        </w:rPr>
        <w:fldChar w:fldCharType="begin"/>
      </w:r>
      <w:r>
        <w:rPr>
          <w:rFonts w:hint="eastAsia" w:ascii="Times New Roman" w:hAnsi="Times New Roman" w:eastAsia="宋体" w:cs="宋体"/>
          <w:color w:val="000000"/>
          <w:sz w:val="21"/>
          <w:szCs w:val="21"/>
          <w:u w:val="none"/>
        </w:rPr>
        <w:instrText xml:space="preserve"> = 1 \* GB3 </w:instrText>
      </w:r>
      <w:r>
        <w:rPr>
          <w:rFonts w:hint="eastAsia" w:ascii="Times New Roman" w:hAnsi="Times New Roman" w:eastAsia="宋体" w:cs="宋体"/>
          <w:color w:val="000000"/>
          <w:sz w:val="21"/>
          <w:szCs w:val="21"/>
          <w:u w:val="none"/>
        </w:rPr>
        <w:fldChar w:fldCharType="separate"/>
      </w:r>
      <w:r>
        <w:rPr>
          <w:rFonts w:hint="eastAsia" w:ascii="Times New Roman" w:hAnsi="Times New Roman" w:eastAsia="宋体" w:cs="宋体"/>
          <w:color w:val="000000"/>
          <w:sz w:val="21"/>
          <w:szCs w:val="21"/>
          <w:u w:val="none"/>
        </w:rPr>
        <w:t>①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u w:val="none"/>
        </w:rPr>
        <w:fldChar w:fldCharType="end"/>
      </w:r>
      <w:r>
        <w:rPr>
          <w:rFonts w:hint="eastAsia" w:ascii="Times New Roman" w:hAnsi="Times New Roman" w:eastAsia="宋体" w:cs="宋体"/>
          <w:color w:val="000000"/>
          <w:sz w:val="21"/>
          <w:szCs w:val="21"/>
          <w:u w:val="none"/>
        </w:rPr>
        <w:t>新都市中心区和北梁腾空区外的其他区域符合价格修正条件的，只作产业业态、自持比例和建筑规模三项修正。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0" w:firstLineChars="0"/>
        <w:jc w:val="both"/>
        <w:textAlignment w:val="auto"/>
        <w:outlineLvl w:val="9"/>
      </w:pPr>
      <w:r>
        <w:rPr>
          <w:rFonts w:hint="eastAsia" w:ascii="Times New Roman" w:hAnsi="Times New Roman" w:eastAsia="宋体" w:cs="宋体"/>
          <w:color w:val="000000"/>
          <w:sz w:val="21"/>
          <w:szCs w:val="21"/>
          <w:u w:val="none"/>
          <w:lang w:val="en-US" w:eastAsia="zh-CN"/>
        </w:rPr>
        <w:t xml:space="preserve">    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u w:val="none"/>
        </w:rPr>
        <w:fldChar w:fldCharType="begin"/>
      </w:r>
      <w:r>
        <w:rPr>
          <w:rFonts w:hint="eastAsia" w:ascii="Times New Roman" w:hAnsi="Times New Roman" w:eastAsia="宋体" w:cs="宋体"/>
          <w:color w:val="000000"/>
          <w:sz w:val="21"/>
          <w:szCs w:val="21"/>
          <w:u w:val="none"/>
        </w:rPr>
        <w:instrText xml:space="preserve"> = 2 \* GB3 </w:instrText>
      </w:r>
      <w:r>
        <w:rPr>
          <w:rFonts w:hint="eastAsia" w:ascii="Times New Roman" w:hAnsi="Times New Roman" w:eastAsia="宋体" w:cs="宋体"/>
          <w:color w:val="000000"/>
          <w:sz w:val="21"/>
          <w:szCs w:val="21"/>
          <w:u w:val="none"/>
        </w:rPr>
        <w:fldChar w:fldCharType="separate"/>
      </w:r>
      <w:r>
        <w:rPr>
          <w:rFonts w:hint="eastAsia" w:ascii="Times New Roman" w:hAnsi="Times New Roman" w:eastAsia="宋体" w:cs="宋体"/>
          <w:color w:val="000000"/>
          <w:sz w:val="21"/>
          <w:szCs w:val="21"/>
          <w:u w:val="none"/>
        </w:rPr>
        <w:t>②</w:t>
      </w:r>
      <w:r>
        <w:rPr>
          <w:rFonts w:hint="eastAsia" w:ascii="Times New Roman" w:hAnsi="Times New Roman" w:eastAsia="宋体" w:cs="宋体"/>
          <w:color w:val="000000"/>
          <w:sz w:val="21"/>
          <w:szCs w:val="21"/>
          <w:u w:val="none"/>
        </w:rPr>
        <w:fldChar w:fldCharType="end"/>
      </w:r>
      <w:r>
        <w:rPr>
          <w:rFonts w:hint="eastAsia" w:ascii="Times New Roman" w:hAnsi="Times New Roman" w:eastAsia="宋体" w:cs="宋体"/>
          <w:color w:val="000000"/>
          <w:sz w:val="21"/>
          <w:szCs w:val="21"/>
          <w:u w:val="none"/>
        </w:rPr>
        <w:t>上述修正系数均为减价修正系数。</w:t>
      </w:r>
      <w:bookmarkStart w:id="0" w:name="_GoBack"/>
      <w:bookmarkEnd w:id="0"/>
      <w:r>
        <w:rPr>
          <w:rFonts w:hint="eastAsia" w:ascii="Times New Roman" w:hAnsi="Times New Roman" w:eastAsia="仿宋_GB2312" w:cs="仿宋_GB2312"/>
          <w:sz w:val="30"/>
          <w:szCs w:val="30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3736975</wp:posOffset>
                </wp:positionH>
                <wp:positionV relativeFrom="paragraph">
                  <wp:posOffset>1323340</wp:posOffset>
                </wp:positionV>
                <wp:extent cx="2171065" cy="69469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71065" cy="6946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wrap="none" lIns="90043" tIns="46863" rIns="90043" bIns="46863" upright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294.25pt;margin-top:104.2pt;height:54.7pt;width:170.95pt;mso-wrap-style:none;z-index:-251658240;mso-width-relative:page;mso-height-relative:page;" filled="f" stroked="f" coordsize="21600,21600" o:gfxdata="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JUsyHDcAAAACwEAAA8AAAAAAAAAAQAgAAAAIgAAAGRycy9k&#10;b3ducmV2LnhtbFBLAQIUABQAAAAIAIdO4kDoElZCxQEAAGMDAAAOAAAAAAAAAAEAIAAAACsBAABk&#10;cnMvZTJvRG9jLnhtbFBLBQYAAAAABgAGAFkBAABiBQAAAAA=&#10;">
                <v:path/>
                <v:fill on="f" focussize="0,0"/>
                <v:stroke on="f"/>
                <v:imagedata o:title=""/>
                <o:lock v:ext="edit" aspectratio="f"/>
                <v:textbox inset="7.09pt,1.30175mm,7.09pt,1.30175mm" style="mso-fit-shape-to-text:t;"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65A4E8C"/>
    <w:rsid w:val="765A4E8C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iPriority w:val="0"/>
    <w:pPr>
      <w:ind w:firstLine="420"/>
    </w:pPr>
  </w:style>
  <w:style w:type="paragraph" w:styleId="3">
    <w:name w:val="Body Text Indent"/>
    <w:basedOn w:val="1"/>
    <w:uiPriority w:val="0"/>
    <w:pPr>
      <w:spacing w:after="120"/>
      <w:ind w:left="420" w:leftChars="200"/>
    </w:p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Office_10.8.0.5715_F1E327BC-269C-435d-A152-05C5408002CA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2020-09-09T08:27:00Z</dcterms:created>
  <dc:creator>Administrator</dc:creator>
  <cp:lastModifiedBy>Administrator</cp:lastModifiedBy>
  <dcterms:modified xsi:type="dcterms:W3CDTF">2020-09-09T08:28:17Z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2052-10.8.0.5715</vt:lpwstr>
  </property>
</Properties>
</file>