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540" w:lineRule="exact"/>
        <w:rPr>
          <w:rFonts w:hint="eastAsia" w:ascii="黑体" w:hAnsi="黑体" w:eastAsia="黑体" w:cs="黑体"/>
          <w:bCs/>
          <w:sz w:val="32"/>
          <w:szCs w:val="32"/>
        </w:rPr>
      </w:pPr>
    </w:p>
    <w:p>
      <w:pPr>
        <w:spacing w:after="120" w:line="540" w:lineRule="exact"/>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Cs/>
          <w:sz w:val="32"/>
          <w:szCs w:val="32"/>
        </w:rPr>
        <w:t>附件</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第三轮中央生态环境保护督察</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第13项整改任务完成情况表</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9" w:type="dxa"/>
            <w:vAlign w:val="center"/>
          </w:tcPr>
          <w:p>
            <w:pPr>
              <w:jc w:val="center"/>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sz w:val="32"/>
                <w:szCs w:val="32"/>
                <w:lang w:val="en-US" w:eastAsia="zh-CN"/>
              </w:rPr>
              <w:t>整改任务</w:t>
            </w:r>
          </w:p>
        </w:tc>
        <w:tc>
          <w:tcPr>
            <w:tcW w:w="6983" w:type="dxa"/>
          </w:tcPr>
          <w:p>
            <w:pPr>
              <w:pStyle w:val="2"/>
              <w:keepNext w:val="0"/>
              <w:keepLines w:val="0"/>
              <w:pageBreakBefore w:val="0"/>
              <w:widowControl w:val="0"/>
              <w:kinsoku/>
              <w:wordWrap/>
              <w:bidi w:val="0"/>
              <w:snapToGrid w:val="0"/>
              <w:spacing w:after="0" w:line="620" w:lineRule="exact"/>
              <w:ind w:firstLine="640" w:firstLineChars="200"/>
              <w:rPr>
                <w:rFonts w:hint="eastAsia" w:ascii="楷体" w:hAnsi="楷体" w:eastAsia="楷体" w:cs="楷体"/>
                <w:b w:val="0"/>
                <w:bCs w:val="0"/>
                <w:sz w:val="32"/>
                <w:szCs w:val="32"/>
                <w:lang w:eastAsia="zh-CN"/>
              </w:rPr>
            </w:pPr>
            <w:r>
              <w:rPr>
                <w:rFonts w:hint="eastAsia" w:ascii="楷体_GB2312" w:hAnsi="楷体_GB2312" w:eastAsia="楷体_GB2312" w:cs="楷体_GB2312"/>
                <w:b w:val="0"/>
                <w:bCs w:val="0"/>
                <w:sz w:val="32"/>
                <w:szCs w:val="32"/>
                <w:lang w:val="en-US" w:eastAsia="zh-CN"/>
              </w:rPr>
              <w:t>第三轮中央生态环境保护督察第13项整改任务：</w:t>
            </w:r>
            <w:r>
              <w:rPr>
                <w:rFonts w:hint="eastAsia" w:ascii="仿宋_GB2312" w:hAnsi="仿宋_GB2312" w:eastAsia="仿宋_GB2312" w:cs="仿宋_GB2312"/>
                <w:b w:val="0"/>
                <w:bCs w:val="0"/>
                <w:sz w:val="32"/>
                <w:szCs w:val="32"/>
                <w:lang w:val="en-US" w:eastAsia="zh-CN"/>
              </w:rPr>
              <w:t>违法猎捕贩卖鸟类问题时有发生。2025年6月，包头市专项检查发现，存在违法饲养国家二级保护动物云雀，及“三有”保护动物沙百灵和朱雀等问题。</w:t>
            </w: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9" w:type="dxa"/>
            <w:vAlign w:val="center"/>
          </w:tcPr>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lang w:val="en-US" w:eastAsia="zh-CN"/>
              </w:rPr>
              <w:t>责任单位</w:t>
            </w:r>
          </w:p>
        </w:tc>
        <w:tc>
          <w:tcPr>
            <w:tcW w:w="6983" w:type="dxa"/>
            <w:vAlign w:val="top"/>
          </w:tcPr>
          <w:p>
            <w:pPr>
              <w:ind w:firstLine="640" w:firstLineChars="200"/>
              <w:rPr>
                <w:rFonts w:hint="eastAsia" w:ascii="仿宋_GB2312" w:hAnsi="仿宋_GB2312" w:eastAsia="仿宋_GB2312" w:cs="仿宋_GB2312"/>
                <w:sz w:val="32"/>
                <w:szCs w:val="32"/>
                <w:vertAlign w:val="baseline"/>
                <w:lang w:val="en-US" w:eastAsia="zh-CN"/>
              </w:rPr>
            </w:pPr>
          </w:p>
          <w:p>
            <w:pPr>
              <w:ind w:firstLine="640" w:firstLineChars="20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包头市公安局、包头市市场监管局、包头市林草局，昆区区委、政府</w:t>
            </w: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39" w:type="dxa"/>
            <w:vAlign w:val="center"/>
          </w:tcPr>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整改目标及措施</w:t>
            </w: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bookmarkStart w:id="0" w:name="_GoBack"/>
            <w:bookmarkEnd w:id="0"/>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整改目标及措施</w:t>
            </w: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b w:val="0"/>
                <w:bCs w:val="0"/>
                <w:sz w:val="32"/>
                <w:szCs w:val="32"/>
                <w:lang w:val="en-US" w:eastAsia="zh-CN"/>
              </w:rPr>
            </w:pPr>
          </w:p>
          <w:p>
            <w:pPr>
              <w:jc w:val="center"/>
              <w:rPr>
                <w:rFonts w:hint="eastAsia" w:ascii="楷体_GB2312" w:hAnsi="楷体_GB2312" w:eastAsia="楷体_GB2312" w:cs="楷体_GB2312"/>
                <w:b w:val="0"/>
                <w:bCs w:val="0"/>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sz w:val="32"/>
                <w:szCs w:val="32"/>
                <w:lang w:val="en-US" w:eastAsia="zh-CN"/>
              </w:rPr>
              <w:t>整改目标及措施</w:t>
            </w:r>
          </w:p>
        </w:tc>
        <w:tc>
          <w:tcPr>
            <w:tcW w:w="6983" w:type="dxa"/>
          </w:tcPr>
          <w:p>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整改目标 :</w:t>
            </w:r>
          </w:p>
          <w:p>
            <w:pPr>
              <w:keepNext w:val="0"/>
              <w:keepLines w:val="0"/>
              <w:widowControl/>
              <w:suppressLineNumbers w:val="0"/>
              <w:ind w:firstLine="640"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lang w:val="en-US" w:eastAsia="zh-CN" w:bidi="ar"/>
              </w:rPr>
              <w:t>依法严厉打击非法猎捕贩卖鸟类行为。野生动物保护工作主体责任进一步压实，执法监管长效机制不断健全，切实维护生物多样性和生态平衡。</w:t>
            </w:r>
          </w:p>
          <w:p>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整改措施 :</w:t>
            </w:r>
          </w:p>
          <w:p>
            <w:pPr>
              <w:keepNext w:val="0"/>
              <w:keepLines w:val="0"/>
              <w:widowControl/>
              <w:suppressLineNumbers w:val="0"/>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一）按照国家林草局等17部门开展的专项行动要求，在全区开展为期三年的保护鸟类活动和打击非法捕猎贩卖鸟类专项联合行动。依托野生动物联合执法协调机制，强化部门协同，与公安，市场监管等部门共享信息，深挖线索，联合执法，对各类鸟类交易市场，人工繁育场所开展全覆盖检查。将鸟类保护状况及打击非法捕猎贩卖鸟类情况列入平安内蒙古建设重要工作内容。压实属地政府主体责任，深入开展“举一反三”全面排查，强化部门协调，对发现的问题限期整治，杜绝类似问题再次发生。建立健全联防联控长效机制，每年至少召开1次打击野生动植物非法贸易厅际联席会议。（自治区林草局牵头验收，公安厅、市场监管局配合验收）</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以野生鸟类为重点持续深入打击涉野生动物违法犯罪行为。对已发现的非法猎捕贩卖野生鸟类违法问题，限期办结移送起诉。以专项行动为抓手，通过专业手段深挖严查案件线索，坚持“全环节，全要素，全链条”依法快查，快破，快处，深挖非法捕猎贩卖源头及上下游关联违法行为，打掉犯罪团伙，摧毁犯罪网络，端掉犯罪窝点。强化协同作战，开展专案攻坚。强化行政执法与刑事司法衔接，实现分工有序，监管到位，惩处有力的工作格局，形成强大执法合力。（自治区公安厅牵头验收，林草局配合验收）</w:t>
            </w:r>
          </w:p>
          <w:p>
            <w:pPr>
              <w:keepNext w:val="0"/>
              <w:keepLines w:val="0"/>
              <w:widowControl/>
              <w:suppressLineNumbers w:val="0"/>
              <w:ind w:firstLine="640" w:firstLineChars="200"/>
              <w:jc w:val="both"/>
              <w:rPr>
                <w:rFonts w:hint="eastAsia"/>
                <w:vertAlign w:val="baseline"/>
                <w:lang w:val="en-US" w:eastAsia="zh-CN"/>
              </w:rPr>
            </w:pPr>
            <w:r>
              <w:rPr>
                <w:rFonts w:hint="eastAsia" w:ascii="仿宋_GB2312" w:hAnsi="仿宋_GB2312" w:eastAsia="仿宋_GB2312" w:cs="仿宋_GB2312"/>
                <w:color w:val="000000"/>
                <w:kern w:val="0"/>
                <w:sz w:val="32"/>
                <w:szCs w:val="32"/>
                <w:lang w:val="en-US" w:eastAsia="zh-CN" w:bidi="ar"/>
              </w:rPr>
              <w:t>（三）开展保护鸟类活动，全面落实我区67处鸟类重要繁殖地、越冬地、迁徙停歇地及自然保护地等重点区域巡护值守工作责任。各地林草部门依法对鸟类人工繁育场所做好监管工作，定期查验繁育，处置等情况。市场监管部门依法对商品交易市场进行清理整顿，压实网络交易平台责任，规范交易行为。各地公布野生动物救助和违法犯罪举报电话，及时受理和处理各类救助、举报信息，并健全救助台账。各地利用“世界野生动植物日”、“爱鸟周”等重要时间节点，每年至少开展1次野生动物保护系列主题宣传活动，在全社会营造爱鸟护鸟的浓厚氛围。（自治区林草局牵头验收，公安厅、市场监管局配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39" w:type="dxa"/>
            <w:vAlign w:val="center"/>
          </w:tcPr>
          <w:p>
            <w:pPr>
              <w:jc w:val="both"/>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整改完成情况</w:t>
            </w: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both"/>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整改完成情况</w:t>
            </w: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整改完成情况</w:t>
            </w: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pStyle w:val="2"/>
              <w:jc w:val="both"/>
              <w:rPr>
                <w:rFonts w:hint="eastAsia" w:ascii="楷体_GB2312" w:hAnsi="楷体_GB2312" w:eastAsia="楷体_GB2312" w:cs="楷体_GB2312"/>
                <w:sz w:val="32"/>
                <w:szCs w:val="32"/>
                <w:lang w:val="en-US" w:eastAsia="zh-CN"/>
              </w:rPr>
            </w:pPr>
          </w:p>
          <w:p>
            <w:pPr>
              <w:rPr>
                <w:rFonts w:hint="eastAsia" w:ascii="楷体_GB2312" w:hAnsi="楷体_GB2312" w:eastAsia="楷体_GB2312" w:cs="楷体_GB2312"/>
                <w:sz w:val="32"/>
                <w:szCs w:val="32"/>
                <w:lang w:val="en-US" w:eastAsia="zh-CN"/>
              </w:rPr>
            </w:pPr>
          </w:p>
          <w:p>
            <w:pP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p>
          <w:p>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整改完成情况</w:t>
            </w:r>
          </w:p>
          <w:p>
            <w:pPr>
              <w:jc w:val="both"/>
              <w:rPr>
                <w:rFonts w:hint="eastAsia" w:ascii="楷体_GB2312" w:hAnsi="楷体_GB2312" w:eastAsia="楷体_GB2312" w:cs="楷体_GB2312"/>
                <w:sz w:val="32"/>
                <w:szCs w:val="32"/>
                <w:lang w:val="en-US" w:eastAsia="zh-CN"/>
              </w:rPr>
            </w:pPr>
          </w:p>
        </w:tc>
        <w:tc>
          <w:tcPr>
            <w:tcW w:w="6983" w:type="dxa"/>
          </w:tcPr>
          <w:p>
            <w:pPr>
              <w:spacing w:line="600" w:lineRule="exact"/>
              <w:ind w:firstLine="640" w:firstLineChars="200"/>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按照国家林草局等17部门和自治区林草局等部门部署开展的专项行动的要求，市级各相关部门均转发部署了《关于印发&lt;全区保护鸟类活动和打击非法捕猎贩卖鸟类专项行动联合工作方案&gt;的通知》，包头市公安局联合市林草局、市市场监管局、市生态环境局于2025年6月23日印发了《严厉打击非法猎捕贩卖野生鸟类专项行动方案》，开展为期三年的保护鸟类活动和打击非法捕猎贩卖鸟类专项联合行动。压实属地责任，全面排查检查，依托野生动物联合执法机制，实现了部门共享信息、深挖线索，完成鸟类交易市场、人工繁育场所全覆盖检查。</w:t>
            </w:r>
            <w:r>
              <w:rPr>
                <w:rFonts w:hint="eastAsia" w:ascii="仿宋_GB2312" w:hAnsi="仿宋_GB2312" w:eastAsia="仿宋_GB2312" w:cs="仿宋_GB2312"/>
                <w:color w:val="auto"/>
                <w:kern w:val="0"/>
                <w:sz w:val="32"/>
                <w:szCs w:val="32"/>
                <w:lang w:val="en-US" w:eastAsia="zh-CN" w:bidi="ar"/>
              </w:rPr>
              <w:t>部署开展了2026年春季候鸟迁飞期鸟类保护工作，</w:t>
            </w:r>
            <w:r>
              <w:rPr>
                <w:rFonts w:hint="eastAsia" w:ascii="仿宋_GB2312" w:hAnsi="仿宋_GB2312" w:eastAsia="仿宋_GB2312" w:cs="仿宋_GB2312"/>
                <w:color w:val="000000"/>
                <w:kern w:val="0"/>
                <w:sz w:val="32"/>
                <w:szCs w:val="32"/>
                <w:lang w:val="en-US" w:eastAsia="zh-CN" w:bidi="ar"/>
              </w:rPr>
              <w:t>将打击涉鸟违法行为纳入平安建设内容。</w:t>
            </w:r>
            <w:r>
              <w:rPr>
                <w:rFonts w:hint="eastAsia" w:ascii="Times New Roman" w:hAnsi="Times New Roman" w:eastAsia="仿宋_GB2312"/>
                <w:sz w:val="32"/>
                <w:szCs w:val="32"/>
              </w:rPr>
              <w:t>2026年3月，</w:t>
            </w:r>
            <w:r>
              <w:rPr>
                <w:rFonts w:hint="eastAsia" w:ascii="Times New Roman" w:hAnsi="Times New Roman" w:eastAsia="仿宋_GB2312"/>
                <w:sz w:val="32"/>
                <w:szCs w:val="32"/>
                <w:lang w:eastAsia="zh-CN"/>
              </w:rPr>
              <w:t>包头市林草局</w:t>
            </w:r>
            <w:r>
              <w:rPr>
                <w:rFonts w:hint="eastAsia" w:ascii="Times New Roman" w:hAnsi="Times New Roman" w:eastAsia="仿宋_GB2312"/>
                <w:sz w:val="32"/>
                <w:szCs w:val="32"/>
              </w:rPr>
              <w:t>组织召开了打击野生动植物非法贸易部门间联席会议，全市18家单位参会，交流研讨了工作经验</w:t>
            </w:r>
            <w:r>
              <w:rPr>
                <w:rFonts w:hint="eastAsia" w:ascii="Times New Roman" w:hAnsi="Times New Roman" w:eastAsia="仿宋_GB2312"/>
                <w:sz w:val="32"/>
                <w:szCs w:val="32"/>
                <w:lang w:eastAsia="zh-CN"/>
              </w:rPr>
              <w:t>，明确了</w:t>
            </w:r>
            <w:r>
              <w:rPr>
                <w:rFonts w:hint="eastAsia" w:ascii="Times New Roman" w:hAnsi="Times New Roman" w:eastAsia="仿宋_GB2312"/>
                <w:sz w:val="32"/>
                <w:szCs w:val="32"/>
              </w:rPr>
              <w:t>下一步工作计划。</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ind w:firstLine="620" w:firstLineChars="200"/>
              <w:jc w:val="both"/>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（二）</w:t>
            </w:r>
            <w:r>
              <w:rPr>
                <w:rFonts w:hint="eastAsia" w:ascii="仿宋_GB2312" w:hAnsi="仿宋_GB2312" w:eastAsia="仿宋_GB2312" w:cs="仿宋_GB2312"/>
                <w:color w:val="000000"/>
                <w:kern w:val="0"/>
                <w:sz w:val="32"/>
                <w:szCs w:val="32"/>
                <w:lang w:val="en-US" w:eastAsia="zh-CN" w:bidi="ar"/>
              </w:rPr>
              <w:t>针对</w:t>
            </w:r>
            <w:r>
              <w:rPr>
                <w:rFonts w:hint="eastAsia" w:ascii="仿宋_GB2312" w:hAnsi="仿宋_GB2312" w:eastAsia="仿宋_GB2312" w:cs="仿宋_GB2312"/>
                <w:b w:val="0"/>
                <w:bCs w:val="0"/>
                <w:sz w:val="32"/>
                <w:szCs w:val="32"/>
                <w:lang w:val="en-US" w:eastAsia="zh-CN"/>
              </w:rPr>
              <w:t>中央生态环境保护督察</w:t>
            </w:r>
            <w:r>
              <w:rPr>
                <w:rFonts w:hint="eastAsia" w:ascii="仿宋_GB2312" w:hAnsi="仿宋_GB2312" w:eastAsia="仿宋_GB2312" w:cs="仿宋_GB2312"/>
                <w:color w:val="000000"/>
                <w:kern w:val="0"/>
                <w:sz w:val="32"/>
                <w:szCs w:val="32"/>
                <w:lang w:val="en-US" w:eastAsia="zh-CN" w:bidi="ar"/>
              </w:rPr>
              <w:t>检查发现的违法饲养国家二级保护动物云雀，及“三有”保护动物沙百灵和朱雀等问题，包头市公安局昆都仑分局于2025年6月16日对违法行为人收购、利用野生动物违法行为依法予以行政处罚，行政处罚已执行完毕，案件已办结并查处到位 。</w:t>
            </w:r>
          </w:p>
          <w:p>
            <w:pPr>
              <w:keepNext w:val="0"/>
              <w:keepLines w:val="0"/>
              <w:widowControl/>
              <w:suppressLineNumbers w:val="0"/>
              <w:ind w:firstLine="640" w:firstLineChars="200"/>
              <w:jc w:val="both"/>
              <w:rPr>
                <w:rFonts w:hint="eastAsia" w:ascii="楷体_GB2312" w:hAnsi="宋体" w:eastAsia="楷体_GB2312" w:cs="楷体_GB2312"/>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按照自治区党委部署的打击非法猎捕、贩卖野生鸟类违法犯罪专项和公安部“平安原野-2025”专项行动要求，2025年8月12日包头市公安机关印发了《全市公安机关“平安原野—2025”专项行动工作方案》。</w:t>
            </w:r>
            <w:r>
              <w:rPr>
                <w:rFonts w:hint="eastAsia" w:ascii="楷体_GB2312" w:hAnsi="宋体" w:eastAsia="楷体_GB2312" w:cs="楷体_GB2312"/>
                <w:color w:val="000000"/>
                <w:kern w:val="0"/>
                <w:sz w:val="31"/>
                <w:szCs w:val="31"/>
                <w:lang w:val="en-US" w:eastAsia="zh-CN" w:bidi="ar"/>
              </w:rPr>
              <w:t xml:space="preserve"> </w:t>
            </w:r>
          </w:p>
          <w:p>
            <w:pPr>
              <w:keepNext w:val="0"/>
              <w:keepLines w:val="0"/>
              <w:widowControl/>
              <w:suppressLineNumbers w:val="0"/>
              <w:ind w:firstLine="640" w:firstLineChars="200"/>
              <w:jc w:val="both"/>
              <w:rPr>
                <w:rFonts w:hint="eastAsia"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包头市公安机关自2025年6月至2026年6月侦办多起涉野生鸟类刑事案件；查处涉野生鸟类行政违法案件4起，</w:t>
            </w:r>
            <w:r>
              <w:rPr>
                <w:rFonts w:ascii="Times New Roman" w:hAnsi="Times New Roman" w:eastAsia="仿宋_GB2312"/>
                <w:color w:val="auto"/>
                <w:sz w:val="32"/>
                <w:szCs w:val="32"/>
              </w:rPr>
              <w:t>罚</w:t>
            </w:r>
            <w:r>
              <w:rPr>
                <w:rFonts w:hint="eastAsia" w:ascii="Times New Roman" w:hAnsi="Times New Roman" w:eastAsia="仿宋_GB2312"/>
                <w:color w:val="auto"/>
                <w:sz w:val="32"/>
                <w:szCs w:val="32"/>
                <w:lang w:eastAsia="zh-CN"/>
              </w:rPr>
              <w:t>款</w:t>
            </w:r>
            <w:r>
              <w:rPr>
                <w:rFonts w:hint="eastAsia" w:ascii="Times New Roman" w:hAnsi="Times New Roman" w:eastAsia="仿宋_GB2312"/>
                <w:color w:val="auto"/>
                <w:sz w:val="32"/>
                <w:szCs w:val="32"/>
              </w:rPr>
              <w:t>4.42</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林草主管部门查办</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起</w:t>
            </w:r>
            <w:r>
              <w:rPr>
                <w:rFonts w:hint="eastAsia" w:ascii="仿宋_GB2312" w:hAnsi="仿宋_GB2312" w:eastAsia="仿宋_GB2312" w:cs="仿宋_GB2312"/>
                <w:color w:val="auto"/>
                <w:kern w:val="0"/>
                <w:sz w:val="32"/>
                <w:szCs w:val="32"/>
                <w:lang w:val="en-US" w:eastAsia="zh-CN" w:bidi="ar"/>
              </w:rPr>
              <w:t>涉野生鸟类违法行政</w:t>
            </w:r>
            <w:r>
              <w:rPr>
                <w:rFonts w:ascii="Times New Roman" w:hAnsi="Times New Roman" w:eastAsia="仿宋_GB2312"/>
                <w:color w:val="auto"/>
                <w:sz w:val="32"/>
                <w:szCs w:val="32"/>
              </w:rPr>
              <w:t>案件</w:t>
            </w:r>
            <w:r>
              <w:rPr>
                <w:rFonts w:hint="eastAsia" w:ascii="Times New Roman" w:hAnsi="Times New Roman" w:eastAsia="仿宋_GB2312"/>
                <w:color w:val="auto"/>
                <w:sz w:val="32"/>
                <w:szCs w:val="32"/>
                <w:lang w:eastAsia="zh-CN"/>
              </w:rPr>
              <w:t>；市市场监管局办理行政案件</w:t>
            </w:r>
            <w:r>
              <w:rPr>
                <w:rFonts w:hint="eastAsia" w:ascii="Times New Roman" w:hAnsi="Times New Roman" w:eastAsia="仿宋_GB2312"/>
                <w:color w:val="auto"/>
                <w:sz w:val="32"/>
                <w:szCs w:val="32"/>
                <w:lang w:val="en-US" w:eastAsia="zh-CN"/>
              </w:rPr>
              <w:t>1起</w:t>
            </w:r>
            <w:r>
              <w:rPr>
                <w:rFonts w:hint="eastAsia" w:ascii="Times New Roman" w:hAnsi="Times New Roman" w:eastAsia="仿宋_GB2312"/>
                <w:color w:val="auto"/>
                <w:sz w:val="32"/>
                <w:szCs w:val="32"/>
                <w:lang w:eastAsia="zh-CN"/>
              </w:rPr>
              <w:t>。</w:t>
            </w:r>
          </w:p>
          <w:p>
            <w:pPr>
              <w:pStyle w:val="6"/>
              <w:ind w:left="0" w:leftChars="0" w:firstLine="640" w:firstLineChars="200"/>
              <w:jc w:val="both"/>
              <w:rPr>
                <w:rFonts w:hint="eastAsia"/>
                <w:lang w:val="en-US" w:eastAsia="zh-CN"/>
              </w:rPr>
            </w:pPr>
            <w:r>
              <w:rPr>
                <w:rFonts w:hint="eastAsia" w:ascii="仿宋_GB2312" w:hAnsi="仿宋_GB2312" w:eastAsia="仿宋_GB2312" w:cs="仿宋_GB2312"/>
                <w:color w:val="000000"/>
                <w:kern w:val="0"/>
                <w:sz w:val="32"/>
                <w:szCs w:val="32"/>
                <w:lang w:val="en-US" w:eastAsia="zh-CN" w:bidi="ar"/>
              </w:rPr>
              <w:t>（三）市林草局落实重点区域巡护值守工作责任，重点关注包头市达茂旗、南海子湿地及沿黄湿地3处鸟类重要繁殖地，完成达茂旗石宝镇蒙古百灵栖息地生态围封4.93公顷，设置宣传标识牌21块。组织旗县区林草部门定期对辖区内鹦鹉等鸟类人工繁育场所进行监督检查，查验繁育和进出台账。市场监管局摸排并建立全市相关经营场所底数台账，动态开展监督检查，对全市53家农贸市场，4处花鸟虫鱼市场完成2轮次全覆盖检查。累计检查农贸市场，花鸟市场等经营场所182家次，经营户504家次，整改问题3处；重点加强网络平台监管，包头市共有网络平台6家(外卖平台5家，票务通平台1家)，对平台实施常态化监测，向电商平台发出协查函4份，处置网上线索18条，线索核查全程闭环管理，动态清零。印发《关于网络交易平台合规经营的提示》，压实网络交易平台责任。</w:t>
            </w:r>
          </w:p>
          <w:p>
            <w:pPr>
              <w:pStyle w:val="6"/>
              <w:ind w:left="0" w:lef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2025年8月，包头市公安局与林草、市场监管部门联合发布了《关于征集非法猎捕、贩卖野生鸟类违法犯罪线索的通告》，征集违法线索及公布举报电话；2026年2月包头市林草局再次在公众号上发布了收容救助及违法线索举报电话，及时受理并处理各类救助、举报信息，救助鸟类600余只。2025年6月至今，包头市公安局制作了1个保护鸟类宣传视频，发布于“平安包头”公众号，林草局在周六日鸟类交易市场和养鸟人员易聚集地设立保护鸟类宣传和警示标牌8个；2025年至今开展了“包头野保联合行动守护北疆生态安全暨2025年痊愈野生动物回归自然活动”、以及2026年“世界野生动植物日”“爱鸟周”开展主题宣传活动，累计发放宣传资料2000余份。</w:t>
            </w:r>
          </w:p>
          <w:p>
            <w:pPr>
              <w:pStyle w:val="5"/>
              <w:rPr>
                <w:rFonts w:hint="eastAsia"/>
                <w:lang w:val="en-US" w:eastAsia="zh-CN"/>
              </w:rPr>
            </w:pP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44E6"/>
    <w:rsid w:val="01450C05"/>
    <w:rsid w:val="016F3786"/>
    <w:rsid w:val="0177576D"/>
    <w:rsid w:val="018735DA"/>
    <w:rsid w:val="02593B95"/>
    <w:rsid w:val="02E377E3"/>
    <w:rsid w:val="03C01571"/>
    <w:rsid w:val="04334122"/>
    <w:rsid w:val="04A4005E"/>
    <w:rsid w:val="04C2067A"/>
    <w:rsid w:val="04ED6C13"/>
    <w:rsid w:val="05392AE6"/>
    <w:rsid w:val="059E649A"/>
    <w:rsid w:val="097C6AD0"/>
    <w:rsid w:val="0A336693"/>
    <w:rsid w:val="0BD817C1"/>
    <w:rsid w:val="0CD55B60"/>
    <w:rsid w:val="0CDF0002"/>
    <w:rsid w:val="0DCB4E97"/>
    <w:rsid w:val="0E2103A5"/>
    <w:rsid w:val="0E3F20C2"/>
    <w:rsid w:val="0E657DBB"/>
    <w:rsid w:val="0E9F0085"/>
    <w:rsid w:val="0F093B5B"/>
    <w:rsid w:val="1028424A"/>
    <w:rsid w:val="10B67259"/>
    <w:rsid w:val="11436EAD"/>
    <w:rsid w:val="11BA416C"/>
    <w:rsid w:val="13611077"/>
    <w:rsid w:val="15353EB0"/>
    <w:rsid w:val="16CE4D3A"/>
    <w:rsid w:val="16DC0053"/>
    <w:rsid w:val="16FB6853"/>
    <w:rsid w:val="171D4998"/>
    <w:rsid w:val="178B62EC"/>
    <w:rsid w:val="17C1500C"/>
    <w:rsid w:val="181476F5"/>
    <w:rsid w:val="186948A4"/>
    <w:rsid w:val="19CA4D22"/>
    <w:rsid w:val="1C7C499A"/>
    <w:rsid w:val="1CE843B0"/>
    <w:rsid w:val="1DFB248A"/>
    <w:rsid w:val="1E0005E2"/>
    <w:rsid w:val="1E2A24C2"/>
    <w:rsid w:val="1E686564"/>
    <w:rsid w:val="1E7253D6"/>
    <w:rsid w:val="1FBF7E52"/>
    <w:rsid w:val="204F7AFA"/>
    <w:rsid w:val="213B5203"/>
    <w:rsid w:val="21EC20FC"/>
    <w:rsid w:val="22D730B9"/>
    <w:rsid w:val="232E1EE5"/>
    <w:rsid w:val="23E072A9"/>
    <w:rsid w:val="2403573A"/>
    <w:rsid w:val="246C3068"/>
    <w:rsid w:val="270D6989"/>
    <w:rsid w:val="273A7E70"/>
    <w:rsid w:val="273D0416"/>
    <w:rsid w:val="275447D5"/>
    <w:rsid w:val="27926682"/>
    <w:rsid w:val="27AC60CF"/>
    <w:rsid w:val="27BF593E"/>
    <w:rsid w:val="27D75F4F"/>
    <w:rsid w:val="29CF4807"/>
    <w:rsid w:val="2A3E3777"/>
    <w:rsid w:val="2A553495"/>
    <w:rsid w:val="2A96518D"/>
    <w:rsid w:val="2BEE08B5"/>
    <w:rsid w:val="2C445125"/>
    <w:rsid w:val="2C85777A"/>
    <w:rsid w:val="2C9C4122"/>
    <w:rsid w:val="2CE35BF3"/>
    <w:rsid w:val="2D766682"/>
    <w:rsid w:val="2DDC694B"/>
    <w:rsid w:val="2EED6807"/>
    <w:rsid w:val="2F07550A"/>
    <w:rsid w:val="2F762DAA"/>
    <w:rsid w:val="2FF94385"/>
    <w:rsid w:val="30BE0267"/>
    <w:rsid w:val="323221B2"/>
    <w:rsid w:val="325F6DCE"/>
    <w:rsid w:val="33552D5E"/>
    <w:rsid w:val="337D2ECB"/>
    <w:rsid w:val="346D35D4"/>
    <w:rsid w:val="36322FA2"/>
    <w:rsid w:val="375F1EA9"/>
    <w:rsid w:val="37BB0188"/>
    <w:rsid w:val="381D1328"/>
    <w:rsid w:val="38493A24"/>
    <w:rsid w:val="38606FEC"/>
    <w:rsid w:val="39EA423F"/>
    <w:rsid w:val="3A046EDF"/>
    <w:rsid w:val="3AF54AE9"/>
    <w:rsid w:val="3CCB2361"/>
    <w:rsid w:val="3D3F48C6"/>
    <w:rsid w:val="3D9842EA"/>
    <w:rsid w:val="3EE4077E"/>
    <w:rsid w:val="3EE722B5"/>
    <w:rsid w:val="3F584BB4"/>
    <w:rsid w:val="40195083"/>
    <w:rsid w:val="40D52851"/>
    <w:rsid w:val="412711A0"/>
    <w:rsid w:val="41A771A4"/>
    <w:rsid w:val="41B85465"/>
    <w:rsid w:val="41EC52E5"/>
    <w:rsid w:val="429C72F9"/>
    <w:rsid w:val="42A17511"/>
    <w:rsid w:val="42EF1D07"/>
    <w:rsid w:val="442D7FEC"/>
    <w:rsid w:val="44B168B6"/>
    <w:rsid w:val="44DD6E0D"/>
    <w:rsid w:val="4612220B"/>
    <w:rsid w:val="46710809"/>
    <w:rsid w:val="47D073F4"/>
    <w:rsid w:val="47EF6BCE"/>
    <w:rsid w:val="48981D79"/>
    <w:rsid w:val="48C83C3F"/>
    <w:rsid w:val="495D02A6"/>
    <w:rsid w:val="4B412DAF"/>
    <w:rsid w:val="4B44689A"/>
    <w:rsid w:val="4BFD5D8E"/>
    <w:rsid w:val="4C0E264F"/>
    <w:rsid w:val="4C2C215D"/>
    <w:rsid w:val="4C8945BB"/>
    <w:rsid w:val="4CCB50D5"/>
    <w:rsid w:val="4E8330CA"/>
    <w:rsid w:val="4F47546F"/>
    <w:rsid w:val="4FB61B33"/>
    <w:rsid w:val="4FEB325B"/>
    <w:rsid w:val="50934E37"/>
    <w:rsid w:val="50B003E1"/>
    <w:rsid w:val="518B5B94"/>
    <w:rsid w:val="51B73FB3"/>
    <w:rsid w:val="51E4364A"/>
    <w:rsid w:val="52994DD3"/>
    <w:rsid w:val="529C502E"/>
    <w:rsid w:val="52CE497D"/>
    <w:rsid w:val="537330C4"/>
    <w:rsid w:val="53825695"/>
    <w:rsid w:val="539B210C"/>
    <w:rsid w:val="54490FC7"/>
    <w:rsid w:val="54D800E1"/>
    <w:rsid w:val="550A5A21"/>
    <w:rsid w:val="553A21E8"/>
    <w:rsid w:val="55737C0E"/>
    <w:rsid w:val="55C87B69"/>
    <w:rsid w:val="5623712F"/>
    <w:rsid w:val="571D1B60"/>
    <w:rsid w:val="57473384"/>
    <w:rsid w:val="576F3CA1"/>
    <w:rsid w:val="57C44B79"/>
    <w:rsid w:val="57D046A4"/>
    <w:rsid w:val="58140712"/>
    <w:rsid w:val="58320DDE"/>
    <w:rsid w:val="590B714C"/>
    <w:rsid w:val="59A161EA"/>
    <w:rsid w:val="59BF7051"/>
    <w:rsid w:val="5A7B6979"/>
    <w:rsid w:val="5A9330F6"/>
    <w:rsid w:val="5AF71F53"/>
    <w:rsid w:val="5B61658C"/>
    <w:rsid w:val="5B6C3AA4"/>
    <w:rsid w:val="5B902F88"/>
    <w:rsid w:val="5BEF1726"/>
    <w:rsid w:val="5C3D6E3E"/>
    <w:rsid w:val="5D2B2666"/>
    <w:rsid w:val="5DD8092A"/>
    <w:rsid w:val="5E6241CE"/>
    <w:rsid w:val="5E762809"/>
    <w:rsid w:val="5EDF73FF"/>
    <w:rsid w:val="5F69002E"/>
    <w:rsid w:val="619A03DF"/>
    <w:rsid w:val="61E60D63"/>
    <w:rsid w:val="654E39D0"/>
    <w:rsid w:val="657C12A0"/>
    <w:rsid w:val="6593071D"/>
    <w:rsid w:val="65AA33C7"/>
    <w:rsid w:val="65D9353C"/>
    <w:rsid w:val="66B22100"/>
    <w:rsid w:val="69283273"/>
    <w:rsid w:val="694B55BF"/>
    <w:rsid w:val="6C2158B6"/>
    <w:rsid w:val="6D9C76EE"/>
    <w:rsid w:val="6DAA2208"/>
    <w:rsid w:val="6DB8087C"/>
    <w:rsid w:val="6E8F1DB4"/>
    <w:rsid w:val="6EC6711A"/>
    <w:rsid w:val="6EFD1074"/>
    <w:rsid w:val="6F0A6E97"/>
    <w:rsid w:val="6F5E45A8"/>
    <w:rsid w:val="71950690"/>
    <w:rsid w:val="728E02C1"/>
    <w:rsid w:val="72C06B48"/>
    <w:rsid w:val="73085E24"/>
    <w:rsid w:val="7321594C"/>
    <w:rsid w:val="741E1192"/>
    <w:rsid w:val="74472FAD"/>
    <w:rsid w:val="747B3671"/>
    <w:rsid w:val="750108FA"/>
    <w:rsid w:val="76242CFA"/>
    <w:rsid w:val="76F138CB"/>
    <w:rsid w:val="77A97FB5"/>
    <w:rsid w:val="77D94AF3"/>
    <w:rsid w:val="78956163"/>
    <w:rsid w:val="78C60839"/>
    <w:rsid w:val="7B463996"/>
    <w:rsid w:val="7BA70BFC"/>
    <w:rsid w:val="7BFA22D7"/>
    <w:rsid w:val="7CD03B0C"/>
    <w:rsid w:val="7D1F3D97"/>
    <w:rsid w:val="7D591638"/>
    <w:rsid w:val="7DF91A96"/>
    <w:rsid w:val="7F094E86"/>
    <w:rsid w:val="7F3303DB"/>
    <w:rsid w:val="7F3D50BD"/>
    <w:rsid w:val="FFE3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1"/>
    <w:pPr>
      <w:spacing w:after="120"/>
    </w:pPr>
    <w:rPr>
      <w:rFonts w:ascii="Times New Roman" w:hAnsi="Times New Roman" w:eastAsia="宋体" w:cs="Times New Roman"/>
      <w:szCs w:val="21"/>
    </w:r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4"/>
    <w:basedOn w:val="1"/>
    <w:next w:val="1"/>
    <w:semiHidden/>
    <w:qFormat/>
    <w:uiPriority w:val="99"/>
    <w:pPr>
      <w:spacing w:line="540" w:lineRule="exact"/>
    </w:pPr>
    <w:rPr>
      <w:rFonts w:ascii="黑体" w:hAnsi="黑体" w:eastAsia="黑体"/>
      <w:sz w:val="32"/>
      <w:szCs w:val="32"/>
    </w:rPr>
  </w:style>
  <w:style w:type="paragraph" w:styleId="6">
    <w:name w:val="Body Text First Indent 2"/>
    <w:basedOn w:val="3"/>
    <w:next w:val="5"/>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2026-06-01T10:55:00Z</dcterms:created>
  <dc:creator>Administrator</dc:creator>
  <cp:lastModifiedBy>Administrator</cp:lastModifiedBy>
  <cp:lastPrinted>2026-07-14T03:43:00Z</cp:lastPrinted>
  <dcterms:modified xsi:type="dcterms:W3CDTF">2026-07-14T08:29:47Z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013C1CB2BF8CC3E496981E6A164C33F4_42</vt:lpwstr>
  </property>
</Properties>
</file>